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ANDALUSIA</w:t>
      </w: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spacing w:before="375"/>
        <w:rPr>
          <w:rFonts w:ascii="Georgia"/>
          <w:b/>
          <w:sz w:val="70"/>
        </w:rPr>
      </w:pPr>
    </w:p>
    <w:p>
      <w:pPr>
        <w:pStyle w:val="Heading2"/>
        <w:spacing w:line="425" w:lineRule="exact" w:before="1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1.229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(6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022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internazionale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Roma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15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kg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(soggetto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7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notti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4*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(o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Pernottamento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prima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6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cene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(acqua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locale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Bus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GT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Cantina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sherry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4"/>
          <w:sz w:val="18"/>
        </w:rPr>
        <w:t>Jerez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locale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italiano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a: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Ronda/Siviglia/Cordova/Granada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Radioguide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auricolari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210€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49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gestione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pratica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80€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(obbligatoria</w:t>
      </w:r>
      <w:r>
        <w:rPr>
          <w:b/>
          <w:i/>
          <w:color w:val="FFFFFF"/>
          <w:spacing w:val="-7"/>
          <w:sz w:val="18"/>
        </w:rPr>
        <w:t> </w:t>
      </w:r>
      <w:r>
        <w:rPr>
          <w:b/>
          <w:i/>
          <w:color w:val="FFFFFF"/>
          <w:sz w:val="18"/>
        </w:rPr>
        <w:t>che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comprende assicurazione medico-bagaglio-annullamento e assistenza h24 </w:t>
      </w:r>
      <w:r>
        <w:rPr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584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Pacchetto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ingressi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monumenti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65€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(obbligatorio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da pagare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498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Biglietto d’ingresso all’Alhambra 42€ a persona acquistabile solo all’atto</w:t>
      </w:r>
      <w:r>
        <w:rPr>
          <w:rFonts w:ascii="Calibri Light" w:hAnsi="Calibri Light"/>
          <w:color w:val="FFFFFF"/>
          <w:spacing w:val="-11"/>
          <w:sz w:val="18"/>
        </w:rPr>
        <w:t> </w:t>
      </w:r>
      <w:r>
        <w:rPr>
          <w:rFonts w:ascii="Calibri Light" w:hAnsi="Calibri Light"/>
          <w:color w:val="FFFFFF"/>
          <w:sz w:val="18"/>
        </w:rPr>
        <w:t>della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prenotazione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invio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11"/>
          <w:sz w:val="18"/>
        </w:rPr>
        <w:t> </w:t>
      </w:r>
      <w:r>
        <w:rPr>
          <w:rFonts w:ascii="Calibri Light" w:hAnsi="Calibri Light"/>
          <w:color w:val="FFFFFF"/>
          <w:sz w:val="18"/>
        </w:rPr>
        <w:t>carta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d’identità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contestuale alla prenotazione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11"/>
        <w:rPr>
          <w:rFonts w:ascii="Calibri Light"/>
          <w:sz w:val="18"/>
        </w:rPr>
      </w:pPr>
    </w:p>
    <w:p>
      <w:pPr>
        <w:spacing w:before="1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191" w:space="155"/>
            <w:col w:w="5714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line="196" w:lineRule="auto" w:before="100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BAMBINO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27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4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03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69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92"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51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27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MALAGA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Malaga.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28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MALAGA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GIBILTERRA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CADICE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JEREZ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LA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FRONTERA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lungo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Costa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Sol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breve</w:t>
      </w:r>
      <w:r>
        <w:rPr>
          <w:color w:val="020203"/>
          <w:spacing w:val="-3"/>
        </w:rPr>
        <w:t> </w:t>
      </w:r>
      <w:r>
        <w:rPr>
          <w:color w:val="020203"/>
        </w:rPr>
        <w:t>sosta</w:t>
      </w:r>
      <w:r>
        <w:rPr>
          <w:color w:val="020203"/>
          <w:spacing w:val="-4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-4"/>
        </w:rPr>
        <w:t> </w:t>
      </w:r>
      <w:r>
        <w:rPr>
          <w:color w:val="020203"/>
        </w:rPr>
        <w:t>pressi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Gibilterra,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ammirare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3"/>
        </w:rPr>
        <w:t> </w:t>
      </w:r>
      <w:r>
        <w:rPr>
          <w:color w:val="020203"/>
        </w:rPr>
        <w:t>Rocca,</w:t>
      </w:r>
      <w:r>
        <w:rPr>
          <w:color w:val="020203"/>
          <w:spacing w:val="-3"/>
        </w:rPr>
        <w:t> </w:t>
      </w:r>
      <w:r>
        <w:rPr>
          <w:color w:val="020203"/>
        </w:rPr>
        <w:t>territorio</w:t>
      </w:r>
      <w:r>
        <w:rPr>
          <w:color w:val="020203"/>
          <w:spacing w:val="40"/>
        </w:rPr>
        <w:t> </w:t>
      </w:r>
      <w:r>
        <w:rPr>
          <w:color w:val="020203"/>
        </w:rPr>
        <w:t>britannico d’oltremare situato all’estremità meridionale della Penisola Iberica. Proseguimento per Cadice, considerata una delle città più antiche d’Europa, con oltre</w:t>
      </w:r>
      <w:r>
        <w:rPr>
          <w:color w:val="020203"/>
          <w:spacing w:val="40"/>
        </w:rPr>
        <w:t> </w:t>
      </w:r>
      <w:r>
        <w:rPr>
          <w:color w:val="020203"/>
        </w:rPr>
        <w:t>tremila anni di storia. La sua posizione strategica tra Oceano Atlantico e Mar Mediterraneo ne fece uno dei principali centri commerciali della Spagna e, tra il XVII e il</w:t>
      </w:r>
      <w:r>
        <w:rPr>
          <w:color w:val="020203"/>
          <w:spacing w:val="40"/>
        </w:rPr>
        <w:t> </w:t>
      </w:r>
      <w:r>
        <w:rPr>
          <w:color w:val="020203"/>
        </w:rPr>
        <w:t>XVIII secolo, il porto esclusivo per i traffici con le Americhe. Breve visita panoramica della città e tempo libero per il pranzo. Nel pomeriggio proseguimento per Jerez</w:t>
      </w:r>
      <w:r>
        <w:rPr>
          <w:color w:val="020203"/>
          <w:spacing w:val="40"/>
        </w:rPr>
        <w:t> </w:t>
      </w:r>
      <w:r>
        <w:rPr>
          <w:color w:val="020203"/>
        </w:rPr>
        <w:t>de la Frontera e visita di una storica cantina produttrice di sherry. La visita consentirà di conoscere le diverse fasi di produzione di questo celebre vino andaluso e</w:t>
      </w:r>
      <w:r>
        <w:rPr>
          <w:color w:val="020203"/>
          <w:spacing w:val="40"/>
        </w:rPr>
        <w:t> </w:t>
      </w:r>
      <w:r>
        <w:rPr>
          <w:color w:val="020203"/>
        </w:rPr>
        <w:t>comprenderà una degustazione. Al termine, partenza per Siviglia.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29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 w:right="138"/>
      </w:pPr>
      <w:r>
        <w:rPr>
          <w:color w:val="020203"/>
        </w:rPr>
        <w:t>Prima colazione in hotel. Mattinata dedicata alla visita guidata di Siviglia. Si visiterà la Cattedrale, tra i più grandi edifici religiosi del mondo cristiano e straordinario</w:t>
      </w:r>
      <w:r>
        <w:rPr>
          <w:color w:val="020203"/>
          <w:spacing w:val="40"/>
        </w:rPr>
        <w:t> </w:t>
      </w:r>
      <w:r>
        <w:rPr>
          <w:color w:val="020203"/>
        </w:rPr>
        <w:t>esempio</w:t>
      </w:r>
      <w:r>
        <w:rPr>
          <w:color w:val="020203"/>
          <w:spacing w:val="-6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gotica</w:t>
      </w:r>
      <w:r>
        <w:rPr>
          <w:color w:val="020203"/>
          <w:spacing w:val="-6"/>
        </w:rPr>
        <w:t> </w:t>
      </w:r>
      <w:r>
        <w:rPr>
          <w:color w:val="020203"/>
        </w:rPr>
        <w:t>spagnola.</w:t>
      </w:r>
      <w:r>
        <w:rPr>
          <w:color w:val="020203"/>
          <w:spacing w:val="-6"/>
        </w:rPr>
        <w:t> </w:t>
      </w:r>
      <w:r>
        <w:rPr>
          <w:color w:val="020203"/>
        </w:rPr>
        <w:t>Accanto</w:t>
      </w:r>
      <w:r>
        <w:rPr>
          <w:color w:val="020203"/>
          <w:spacing w:val="-6"/>
        </w:rPr>
        <w:t> </w:t>
      </w:r>
      <w:r>
        <w:rPr>
          <w:color w:val="020203"/>
        </w:rPr>
        <w:t>sorge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Giralda,</w:t>
      </w:r>
      <w:r>
        <w:rPr>
          <w:color w:val="020203"/>
          <w:spacing w:val="-5"/>
        </w:rPr>
        <w:t> </w:t>
      </w:r>
      <w:r>
        <w:rPr>
          <w:color w:val="020203"/>
        </w:rPr>
        <w:t>antico</w:t>
      </w:r>
      <w:r>
        <w:rPr>
          <w:color w:val="020203"/>
          <w:spacing w:val="-6"/>
        </w:rPr>
        <w:t> </w:t>
      </w:r>
      <w:r>
        <w:rPr>
          <w:color w:val="020203"/>
        </w:rPr>
        <w:t>minareto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moschea</w:t>
      </w:r>
      <w:r>
        <w:rPr>
          <w:color w:val="020203"/>
          <w:spacing w:val="-6"/>
        </w:rPr>
        <w:t> </w:t>
      </w:r>
      <w:r>
        <w:rPr>
          <w:color w:val="020203"/>
        </w:rPr>
        <w:t>almohade,</w:t>
      </w:r>
      <w:r>
        <w:rPr>
          <w:color w:val="020203"/>
          <w:spacing w:val="-5"/>
        </w:rPr>
        <w:t> </w:t>
      </w:r>
      <w:r>
        <w:rPr>
          <w:color w:val="020203"/>
        </w:rPr>
        <w:t>successivamente</w:t>
      </w:r>
      <w:r>
        <w:rPr>
          <w:color w:val="020203"/>
          <w:spacing w:val="-5"/>
        </w:rPr>
        <w:t> </w:t>
      </w:r>
      <w:r>
        <w:rPr>
          <w:color w:val="020203"/>
        </w:rPr>
        <w:t>trasformato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campanile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cattedrale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oggi</w:t>
      </w:r>
      <w:r>
        <w:rPr>
          <w:color w:val="020203"/>
          <w:spacing w:val="-6"/>
        </w:rPr>
        <w:t> </w:t>
      </w:r>
      <w:r>
        <w:rPr>
          <w:color w:val="020203"/>
        </w:rPr>
        <w:t>simbolo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città.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una</w:t>
      </w:r>
      <w:r>
        <w:rPr>
          <w:color w:val="020203"/>
          <w:spacing w:val="-6"/>
        </w:rPr>
        <w:t> </w:t>
      </w:r>
      <w:r>
        <w:rPr>
          <w:color w:val="020203"/>
        </w:rPr>
        <w:t>passeggiata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suggestivo</w:t>
      </w:r>
      <w:r>
        <w:rPr>
          <w:color w:val="020203"/>
          <w:spacing w:val="-6"/>
        </w:rPr>
        <w:t> </w:t>
      </w:r>
      <w:r>
        <w:rPr>
          <w:color w:val="020203"/>
        </w:rPr>
        <w:t>quartiere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Santa</w:t>
      </w:r>
      <w:r>
        <w:rPr>
          <w:color w:val="020203"/>
          <w:spacing w:val="-6"/>
        </w:rPr>
        <w:t> </w:t>
      </w:r>
      <w:r>
        <w:rPr>
          <w:color w:val="020203"/>
        </w:rPr>
        <w:t>Cruz,</w:t>
      </w:r>
      <w:r>
        <w:rPr>
          <w:color w:val="020203"/>
          <w:spacing w:val="-5"/>
        </w:rPr>
        <w:t> </w:t>
      </w:r>
      <w:r>
        <w:rPr>
          <w:color w:val="020203"/>
        </w:rPr>
        <w:t>l’antico</w:t>
      </w:r>
      <w:r>
        <w:rPr>
          <w:color w:val="020203"/>
          <w:spacing w:val="-6"/>
        </w:rPr>
        <w:t> </w:t>
      </w:r>
      <w:r>
        <w:rPr>
          <w:color w:val="020203"/>
        </w:rPr>
        <w:t>quartiere</w:t>
      </w:r>
      <w:r>
        <w:rPr>
          <w:color w:val="020203"/>
          <w:spacing w:val="-5"/>
        </w:rPr>
        <w:t> </w:t>
      </w:r>
      <w:r>
        <w:rPr>
          <w:color w:val="020203"/>
        </w:rPr>
        <w:t>ebraico,</w:t>
      </w:r>
      <w:r>
        <w:rPr>
          <w:color w:val="020203"/>
          <w:spacing w:val="-5"/>
        </w:rPr>
        <w:t> </w:t>
      </w:r>
      <w:r>
        <w:rPr>
          <w:color w:val="020203"/>
        </w:rPr>
        <w:t>caratterizzato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un</w:t>
      </w:r>
      <w:r>
        <w:rPr>
          <w:color w:val="020203"/>
          <w:spacing w:val="-6"/>
        </w:rPr>
        <w:t> </w:t>
      </w:r>
      <w:r>
        <w:rPr>
          <w:color w:val="020203"/>
        </w:rPr>
        <w:t>intricato</w:t>
      </w:r>
      <w:r>
        <w:rPr>
          <w:color w:val="020203"/>
          <w:spacing w:val="-6"/>
        </w:rPr>
        <w:t> </w:t>
      </w:r>
      <w:r>
        <w:rPr>
          <w:color w:val="020203"/>
        </w:rPr>
        <w:t>dedalo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vicoli, piazzette e cortili fioriti che conservano tutto il fascino della Siviglia storica. Pomeriggio libero a disposizione.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30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SIVIGLIA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CORDOVA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GRANADA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Moschea-Cattedrale,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importanti</w:t>
      </w:r>
      <w:r>
        <w:rPr>
          <w:color w:val="020203"/>
          <w:spacing w:val="-3"/>
        </w:rPr>
        <w:t> </w:t>
      </w:r>
      <w:r>
        <w:rPr>
          <w:color w:val="020203"/>
        </w:rPr>
        <w:t>monumenti</w:t>
      </w:r>
      <w:r>
        <w:rPr>
          <w:color w:val="020203"/>
          <w:spacing w:val="-3"/>
        </w:rPr>
        <w:t> </w:t>
      </w:r>
      <w:r>
        <w:rPr>
          <w:color w:val="020203"/>
        </w:rPr>
        <w:t>dell’arte</w:t>
      </w:r>
      <w:r>
        <w:rPr>
          <w:color w:val="020203"/>
          <w:spacing w:val="-2"/>
        </w:rPr>
        <w:t> </w:t>
      </w:r>
      <w:r>
        <w:rPr>
          <w:color w:val="020203"/>
        </w:rPr>
        <w:t>islamica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Europa.</w:t>
      </w:r>
      <w:r>
        <w:rPr>
          <w:color w:val="020203"/>
          <w:spacing w:val="-3"/>
        </w:rPr>
        <w:t> </w:t>
      </w:r>
      <w:r>
        <w:rPr>
          <w:color w:val="020203"/>
        </w:rPr>
        <w:t>L’interno</w:t>
      </w:r>
      <w:r>
        <w:rPr>
          <w:color w:val="020203"/>
          <w:spacing w:val="40"/>
        </w:rPr>
        <w:t> </w:t>
      </w:r>
      <w:r>
        <w:rPr>
          <w:color w:val="020203"/>
        </w:rPr>
        <w:t>colpisce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susseguirsi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colonne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archi</w:t>
      </w:r>
      <w:r>
        <w:rPr>
          <w:color w:val="020203"/>
          <w:spacing w:val="-5"/>
        </w:rPr>
        <w:t> </w:t>
      </w:r>
      <w:r>
        <w:rPr>
          <w:color w:val="020203"/>
        </w:rPr>
        <w:t>bicolori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prezioso</w:t>
      </w:r>
      <w:r>
        <w:rPr>
          <w:color w:val="020203"/>
          <w:spacing w:val="-5"/>
        </w:rPr>
        <w:t> </w:t>
      </w:r>
      <w:r>
        <w:rPr>
          <w:color w:val="020203"/>
        </w:rPr>
        <w:t>mihrab,</w:t>
      </w:r>
      <w:r>
        <w:rPr>
          <w:color w:val="020203"/>
          <w:spacing w:val="-4"/>
        </w:rPr>
        <w:t> </w:t>
      </w:r>
      <w:r>
        <w:rPr>
          <w:color w:val="020203"/>
        </w:rPr>
        <w:t>riccamente</w:t>
      </w:r>
      <w:r>
        <w:rPr>
          <w:color w:val="020203"/>
          <w:spacing w:val="-4"/>
        </w:rPr>
        <w:t> </w:t>
      </w:r>
      <w:r>
        <w:rPr>
          <w:color w:val="020203"/>
        </w:rPr>
        <w:t>decorato.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caratteristico</w:t>
      </w:r>
      <w:r>
        <w:rPr>
          <w:color w:val="020203"/>
          <w:spacing w:val="40"/>
        </w:rPr>
        <w:t> </w:t>
      </w:r>
      <w:r>
        <w:rPr>
          <w:color w:val="020203"/>
        </w:rPr>
        <w:t>Quartiere Ebraico, tra vicoli acciottolati, cortili andalusi e abitazioni impreziosite da balconi fioriti. Al termine, partenza per Granada.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GRANADA</w:t>
      </w:r>
    </w:p>
    <w:p>
      <w:pPr>
        <w:pStyle w:val="BodyText"/>
        <w:spacing w:line="235" w:lineRule="auto" w:before="2"/>
        <w:ind w:left="141" w:right="138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Mattinata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Granada.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visiterà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Reale,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custodisce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sepolcri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Cattolici</w:t>
      </w:r>
      <w:r>
        <w:rPr>
          <w:color w:val="020203"/>
          <w:spacing w:val="-2"/>
        </w:rPr>
        <w:t> </w:t>
      </w:r>
      <w:r>
        <w:rPr>
          <w:color w:val="020203"/>
        </w:rPr>
        <w:t>Ferdinando</w:t>
      </w:r>
      <w:r>
        <w:rPr>
          <w:color w:val="020203"/>
          <w:spacing w:val="-2"/>
        </w:rPr>
        <w:t> </w:t>
      </w:r>
      <w:r>
        <w:rPr>
          <w:color w:val="020203"/>
        </w:rPr>
        <w:t>d’Aragona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Isabella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Castiglia,</w:t>
      </w:r>
      <w:r>
        <w:rPr>
          <w:color w:val="020203"/>
          <w:spacing w:val="-5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rinascimentale</w:t>
      </w:r>
      <w:r>
        <w:rPr>
          <w:color w:val="020203"/>
          <w:spacing w:val="-5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Certosa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Granada,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decorazioni</w:t>
      </w:r>
      <w:r>
        <w:rPr>
          <w:color w:val="020203"/>
          <w:spacing w:val="40"/>
        </w:rPr>
        <w:t> </w:t>
      </w:r>
      <w:r>
        <w:rPr>
          <w:color w:val="020203"/>
        </w:rPr>
        <w:t>barocche. Successivamente si raggiungerà uno dei punti panoramici più suggestivi della città, dal quale si potrà ammirare dall’esterno l’Alhambra e approfondirne la</w:t>
      </w:r>
      <w:r>
        <w:rPr>
          <w:color w:val="020203"/>
          <w:spacing w:val="40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l’importanza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culturale.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nazarí,</w:t>
      </w:r>
      <w:r>
        <w:rPr>
          <w:color w:val="020203"/>
          <w:spacing w:val="-3"/>
        </w:rPr>
        <w:t> </w:t>
      </w:r>
      <w:r>
        <w:rPr>
          <w:color w:val="020203"/>
        </w:rPr>
        <w:t>l’Alhambra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splendore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Granada</w:t>
      </w:r>
      <w:r>
        <w:rPr>
          <w:color w:val="020203"/>
          <w:spacing w:val="-4"/>
        </w:rPr>
        <w:t> </w:t>
      </w:r>
      <w:r>
        <w:rPr>
          <w:color w:val="020203"/>
        </w:rPr>
        <w:t>musulmana.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</w:t>
      </w:r>
      <w:r>
        <w:rPr>
          <w:color w:val="020203"/>
          <w:spacing w:val="-3"/>
        </w:rPr>
        <w:t> </w:t>
      </w:r>
      <w:r>
        <w:rPr>
          <w:color w:val="020203"/>
        </w:rPr>
        <w:t>circa.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Fortemente</w:t>
      </w:r>
      <w:r>
        <w:rPr>
          <w:color w:val="020203"/>
          <w:spacing w:val="-3"/>
        </w:rPr>
        <w:t> </w:t>
      </w:r>
      <w:r>
        <w:rPr>
          <w:color w:val="020203"/>
        </w:rPr>
        <w:t>consigliata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all’Alham-bra </w:t>
      </w:r>
      <w:r>
        <w:rPr>
          <w:b/>
          <w:i/>
          <w:color w:val="020203"/>
        </w:rPr>
        <w:t>(senza guida ma con audioguide - non inclusa nel pacchetto ingressi)</w:t>
      </w:r>
      <w:r>
        <w:rPr>
          <w:color w:val="020203"/>
        </w:rPr>
        <w:t>. Pernottamento.</w:t>
      </w:r>
    </w:p>
    <w:p>
      <w:pPr>
        <w:spacing w:before="192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**</w:t>
      </w:r>
      <w:r>
        <w:rPr>
          <w:b/>
          <w:color w:val="020203"/>
          <w:sz w:val="16"/>
          <w:u w:val="single" w:color="020203"/>
        </w:rPr>
        <w:t>Cenone</w:t>
      </w:r>
      <w:r>
        <w:rPr>
          <w:b/>
          <w:color w:val="020203"/>
          <w:spacing w:val="-5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di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Capodanno</w:t>
      </w:r>
      <w:r>
        <w:rPr>
          <w:b/>
          <w:color w:val="020203"/>
          <w:spacing w:val="-5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buffet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facoltativo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</w:t>
      </w:r>
      <w:r>
        <w:rPr>
          <w:b/>
          <w:color w:val="020203"/>
          <w:sz w:val="16"/>
          <w:u w:val="single" w:color="020203"/>
        </w:rPr>
        <w:t>upplemento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di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120€</w:t>
      </w:r>
      <w:r>
        <w:rPr>
          <w:b/>
          <w:color w:val="020203"/>
          <w:spacing w:val="-4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a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persona</w:t>
      </w:r>
      <w:r>
        <w:rPr>
          <w:b/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bevande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brindisi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mezzanotte**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GRANADA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ANTEQUERA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MALAGA</w:t>
      </w:r>
    </w:p>
    <w:p>
      <w:pPr>
        <w:pStyle w:val="BodyText"/>
        <w:spacing w:line="235" w:lineRule="auto" w:before="1"/>
        <w:ind w:left="141" w:right="185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per Antequera, città</w:t>
      </w:r>
      <w:r>
        <w:rPr>
          <w:color w:val="020203"/>
          <w:spacing w:val="-1"/>
        </w:rPr>
        <w:t> </w:t>
      </w:r>
      <w:r>
        <w:rPr>
          <w:color w:val="020203"/>
        </w:rPr>
        <w:t>monumentale situata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cuore dell’Andalusia.</w:t>
      </w:r>
      <w:r>
        <w:rPr>
          <w:color w:val="020203"/>
          <w:spacing w:val="-1"/>
        </w:rPr>
        <w:t> </w:t>
      </w:r>
      <w:r>
        <w:rPr>
          <w:color w:val="020203"/>
        </w:rPr>
        <w:t>Sosta</w:t>
      </w:r>
      <w:r>
        <w:rPr>
          <w:color w:val="020203"/>
          <w:spacing w:val="-1"/>
        </w:rPr>
        <w:t> </w:t>
      </w:r>
      <w:r>
        <w:rPr>
          <w:color w:val="020203"/>
        </w:rPr>
        <w:t>presso</w:t>
      </w:r>
      <w:r>
        <w:rPr>
          <w:color w:val="020203"/>
          <w:spacing w:val="-1"/>
        </w:rPr>
        <w:t> </w:t>
      </w:r>
      <w:r>
        <w:rPr>
          <w:color w:val="020203"/>
        </w:rPr>
        <w:t>l’Alcazaba, la</w:t>
      </w:r>
      <w:r>
        <w:rPr>
          <w:color w:val="020203"/>
          <w:spacing w:val="-1"/>
        </w:rPr>
        <w:t> </w:t>
      </w:r>
      <w:r>
        <w:rPr>
          <w:color w:val="020203"/>
        </w:rPr>
        <w:t>fortezza</w:t>
      </w:r>
      <w:r>
        <w:rPr>
          <w:color w:val="020203"/>
          <w:spacing w:val="-1"/>
        </w:rPr>
        <w:t> </w:t>
      </w:r>
      <w:r>
        <w:rPr>
          <w:color w:val="020203"/>
        </w:rPr>
        <w:t>araba</w:t>
      </w:r>
      <w:r>
        <w:rPr>
          <w:color w:val="020203"/>
          <w:spacing w:val="-1"/>
        </w:rPr>
        <w:t> </w:t>
      </w:r>
      <w:r>
        <w:rPr>
          <w:color w:val="020203"/>
        </w:rPr>
        <w:t>che domina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40"/>
        </w:rPr>
        <w:t> </w:t>
      </w:r>
      <w:r>
        <w:rPr>
          <w:color w:val="020203"/>
        </w:rPr>
        <w:t>storico e offre splendide vedute panoramiche sulla città e sulla celebre Roccia degli Innamorati, formazione rocciosa legata a una delle più note leggende andaluse.</w:t>
      </w:r>
      <w:r>
        <w:rPr>
          <w:color w:val="020203"/>
          <w:spacing w:val="40"/>
        </w:rPr>
        <w:t> </w:t>
      </w:r>
      <w:r>
        <w:rPr>
          <w:color w:val="020203"/>
        </w:rPr>
        <w:t>Tempo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7"/>
        </w:rPr>
        <w:t> </w:t>
      </w:r>
      <w:r>
        <w:rPr>
          <w:color w:val="020203"/>
        </w:rPr>
        <w:t>pranzo</w:t>
      </w:r>
      <w:r>
        <w:rPr>
          <w:color w:val="020203"/>
          <w:spacing w:val="-7"/>
        </w:rPr>
        <w:t> </w:t>
      </w:r>
      <w:r>
        <w:rPr>
          <w:color w:val="020203"/>
        </w:rPr>
        <w:t>libero.</w:t>
      </w:r>
      <w:r>
        <w:rPr>
          <w:color w:val="020203"/>
          <w:spacing w:val="-7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pomeriggio</w:t>
      </w:r>
      <w:r>
        <w:rPr>
          <w:color w:val="020203"/>
          <w:spacing w:val="-7"/>
        </w:rPr>
        <w:t> </w:t>
      </w:r>
      <w:r>
        <w:rPr>
          <w:color w:val="020203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Malaga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7"/>
        </w:rPr>
        <w:t> </w:t>
      </w:r>
      <w:r>
        <w:rPr>
          <w:color w:val="020203"/>
        </w:rPr>
        <w:t>panoramica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città,</w:t>
      </w:r>
      <w:r>
        <w:rPr>
          <w:color w:val="020203"/>
          <w:spacing w:val="-6"/>
        </w:rPr>
        <w:t> </w:t>
      </w:r>
      <w:r>
        <w:rPr>
          <w:color w:val="020203"/>
        </w:rPr>
        <w:t>affacciata</w:t>
      </w:r>
      <w:r>
        <w:rPr>
          <w:color w:val="020203"/>
          <w:spacing w:val="-7"/>
        </w:rPr>
        <w:t> </w:t>
      </w:r>
      <w:r>
        <w:rPr>
          <w:color w:val="020203"/>
        </w:rPr>
        <w:t>sul</w:t>
      </w:r>
      <w:r>
        <w:rPr>
          <w:color w:val="020203"/>
          <w:spacing w:val="-7"/>
        </w:rPr>
        <w:t> </w:t>
      </w:r>
      <w:r>
        <w:rPr>
          <w:color w:val="020203"/>
        </w:rPr>
        <w:t>Mediterraneo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dominata</w:t>
      </w:r>
      <w:r>
        <w:rPr>
          <w:color w:val="020203"/>
          <w:spacing w:val="-7"/>
        </w:rPr>
        <w:t> </w:t>
      </w:r>
      <w:r>
        <w:rPr>
          <w:color w:val="020203"/>
        </w:rPr>
        <w:t>dall’Alcazaba,</w:t>
      </w:r>
      <w:r>
        <w:rPr>
          <w:color w:val="020203"/>
          <w:spacing w:val="-6"/>
        </w:rPr>
        <w:t> </w:t>
      </w:r>
      <w:r>
        <w:rPr>
          <w:color w:val="020203"/>
        </w:rPr>
        <w:t>importan-te testimonianza del periodo musulmano. Tempo libero nel centro storico per passeggiare tra i luoghi più rappresentativi della città, tra cui Calle Larios, il Pasaje de</w:t>
      </w:r>
      <w:r>
        <w:rPr>
          <w:color w:val="020203"/>
          <w:spacing w:val="40"/>
        </w:rPr>
        <w:t> </w:t>
      </w:r>
      <w:r>
        <w:rPr>
          <w:color w:val="020203"/>
        </w:rPr>
        <w:t>Chinitas, Plaza de la Merced, dove nacque Pablo Picasso, e la Cattedrale.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02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MALAGA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RONDA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MIJAS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MALAGA</w:t>
      </w:r>
    </w:p>
    <w:p>
      <w:pPr>
        <w:pStyle w:val="BodyText"/>
        <w:spacing w:line="235" w:lineRule="auto" w:before="2"/>
        <w:ind w:left="141" w:right="209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Ronda,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-4"/>
        </w:rPr>
        <w:t> </w:t>
      </w:r>
      <w:r>
        <w:rPr>
          <w:color w:val="020203"/>
        </w:rPr>
        <w:t>dell’Andalusia,</w:t>
      </w:r>
      <w:r>
        <w:rPr>
          <w:color w:val="020203"/>
          <w:spacing w:val="-3"/>
        </w:rPr>
        <w:t> </w:t>
      </w:r>
      <w:r>
        <w:rPr>
          <w:color w:val="020203"/>
        </w:rPr>
        <w:t>costruita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altopiano</w:t>
      </w:r>
      <w:r>
        <w:rPr>
          <w:color w:val="020203"/>
          <w:spacing w:val="-4"/>
        </w:rPr>
        <w:t> </w:t>
      </w:r>
      <w:r>
        <w:rPr>
          <w:color w:val="020203"/>
        </w:rPr>
        <w:t>roccioso</w:t>
      </w:r>
      <w:r>
        <w:rPr>
          <w:color w:val="020203"/>
          <w:spacing w:val="-4"/>
        </w:rPr>
        <w:t> </w:t>
      </w:r>
      <w:r>
        <w:rPr>
          <w:color w:val="020203"/>
        </w:rPr>
        <w:t>diviso</w:t>
      </w:r>
      <w:r>
        <w:rPr>
          <w:color w:val="020203"/>
          <w:spacing w:val="-4"/>
        </w:rPr>
        <w:t> </w:t>
      </w:r>
      <w:r>
        <w:rPr>
          <w:color w:val="020203"/>
        </w:rPr>
        <w:t>dalla</w:t>
      </w:r>
      <w:r>
        <w:rPr>
          <w:color w:val="020203"/>
          <w:spacing w:val="-4"/>
        </w:rPr>
        <w:t> </w:t>
      </w:r>
      <w:r>
        <w:rPr>
          <w:color w:val="020203"/>
        </w:rPr>
        <w:t>profonda</w:t>
      </w:r>
      <w:r>
        <w:rPr>
          <w:color w:val="020203"/>
          <w:spacing w:val="-4"/>
        </w:rPr>
        <w:t> </w:t>
      </w:r>
      <w:r>
        <w:rPr>
          <w:color w:val="020203"/>
        </w:rPr>
        <w:t>gola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Tajo,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raggiunge oltre cento metri di profondità. Visita del centro storico con la Chiesa Collegiata di Santa María la Mayor, importante edificio rinascimentale che conserva</w:t>
      </w:r>
      <w:r>
        <w:rPr>
          <w:color w:val="020203"/>
          <w:spacing w:val="40"/>
        </w:rPr>
        <w:t> </w:t>
      </w:r>
      <w:r>
        <w:rPr>
          <w:color w:val="020203"/>
        </w:rPr>
        <w:t>ancora elementi dell’antica moschea su cui fu edificata. Proseguimento con la visita della celebre Plaza de Toros, considerata uno dei più prestigiosi esempi di archi-tettura</w:t>
      </w:r>
      <w:r>
        <w:rPr>
          <w:color w:val="020203"/>
          <w:spacing w:val="-5"/>
        </w:rPr>
        <w:t> </w:t>
      </w:r>
      <w:r>
        <w:rPr>
          <w:color w:val="020203"/>
        </w:rPr>
        <w:t>taurina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XVIII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Malaga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Mijas,</w:t>
      </w:r>
      <w:r>
        <w:rPr>
          <w:color w:val="020203"/>
          <w:spacing w:val="-4"/>
        </w:rPr>
        <w:t> </w:t>
      </w:r>
      <w:r>
        <w:rPr>
          <w:color w:val="020203"/>
        </w:rPr>
        <w:t>pittoresco</w:t>
      </w:r>
      <w:r>
        <w:rPr>
          <w:color w:val="020203"/>
          <w:spacing w:val="-5"/>
        </w:rPr>
        <w:t> </w:t>
      </w:r>
      <w:r>
        <w:rPr>
          <w:color w:val="020203"/>
        </w:rPr>
        <w:t>villaggio</w:t>
      </w:r>
      <w:r>
        <w:rPr>
          <w:color w:val="020203"/>
          <w:spacing w:val="-5"/>
        </w:rPr>
        <w:t> </w:t>
      </w:r>
      <w:r>
        <w:rPr>
          <w:color w:val="020203"/>
        </w:rPr>
        <w:t>andaluso</w:t>
      </w:r>
      <w:r>
        <w:rPr>
          <w:color w:val="020203"/>
          <w:spacing w:val="-5"/>
        </w:rPr>
        <w:t> </w:t>
      </w:r>
      <w:r>
        <w:rPr>
          <w:color w:val="020203"/>
        </w:rPr>
        <w:t>dalle</w:t>
      </w:r>
      <w:r>
        <w:rPr>
          <w:color w:val="020203"/>
          <w:spacing w:val="-4"/>
        </w:rPr>
        <w:t> </w:t>
      </w:r>
      <w:r>
        <w:rPr>
          <w:color w:val="020203"/>
        </w:rPr>
        <w:t>caratteristiche</w:t>
      </w:r>
      <w:r>
        <w:rPr>
          <w:color w:val="020203"/>
          <w:spacing w:val="-4"/>
        </w:rPr>
        <w:t> </w:t>
      </w:r>
      <w:r>
        <w:rPr>
          <w:color w:val="020203"/>
        </w:rPr>
        <w:t>case</w:t>
      </w:r>
      <w:r>
        <w:rPr>
          <w:color w:val="020203"/>
          <w:spacing w:val="-4"/>
        </w:rPr>
        <w:t> </w:t>
      </w:r>
      <w:r>
        <w:rPr>
          <w:color w:val="020203"/>
        </w:rPr>
        <w:t>bianche,</w:t>
      </w:r>
      <w:r>
        <w:rPr>
          <w:color w:val="020203"/>
          <w:spacing w:val="-4"/>
        </w:rPr>
        <w:t> </w:t>
      </w:r>
      <w:r>
        <w:rPr>
          <w:color w:val="020203"/>
        </w:rPr>
        <w:t>affacciato</w:t>
      </w:r>
      <w:r>
        <w:rPr>
          <w:color w:val="020203"/>
          <w:spacing w:val="-5"/>
        </w:rPr>
        <w:t> </w:t>
      </w:r>
      <w:r>
        <w:rPr>
          <w:color w:val="020203"/>
        </w:rPr>
        <w:t>sulla</w:t>
      </w:r>
      <w:r>
        <w:rPr>
          <w:color w:val="020203"/>
          <w:spacing w:val="40"/>
        </w:rPr>
        <w:t> </w:t>
      </w:r>
      <w:r>
        <w:rPr>
          <w:color w:val="020203"/>
        </w:rPr>
        <w:t>Costa del Sol. Tempo libero per passeggiare tra le sue stradine e ammirare gli splendidi panorami sulla costa. Il borgo è noto anche per il tradizionale servizio degli</w:t>
      </w:r>
      <w:r>
        <w:rPr>
          <w:color w:val="020203"/>
          <w:spacing w:val="40"/>
        </w:rPr>
        <w:t> </w:t>
      </w:r>
      <w:r>
        <w:rPr>
          <w:color w:val="020203"/>
        </w:rPr>
        <w:t>asini-taxi, divenuto una delle sue curiosità più conosciute. Rientro a Malaga.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03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MALAGA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235" w:lineRule="auto" w:before="1"/>
        <w:ind w:left="141" w:right="185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3"/>
        <w:spacing w:before="191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BodyText"/>
        <w:spacing w:before="185"/>
        <w:rPr>
          <w:b/>
          <w:i/>
        </w:rPr>
      </w:pPr>
    </w:p>
    <w:p>
      <w:pPr>
        <w:spacing w:line="194" w:lineRule="exact" w:before="0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391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Cenone di Capodanno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a buffet facoltativo in hotel con supplemento di 120€ a persona con bevande e brindisi di mezzanotte (posti limitati la richiesta dovrà pervenire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contestuale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prenotazione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soggetto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riconferma)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592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Biglietto d’ingresso all’Alhambra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Occasionalmente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alcune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pernottamento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potrebbe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essere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Torremolonos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anziché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Malaga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(riconferma 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settimana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partenza)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spacing w:after="0" w:line="194" w:lineRule="exact"/>
        <w:jc w:val="left"/>
        <w:rPr>
          <w:i/>
          <w:sz w:val="16"/>
        </w:rPr>
        <w:sectPr>
          <w:headerReference w:type="default" r:id="rId12"/>
          <w:footerReference w:type="default" r:id="rId13"/>
          <w:pgSz w:w="11910" w:h="16840"/>
          <w:pgMar w:header="470" w:footer="718" w:top="1500" w:bottom="900" w:left="425" w:right="425"/>
        </w:sectPr>
      </w:pPr>
    </w:p>
    <w:p>
      <w:pPr>
        <w:pStyle w:val="BodyText"/>
        <w:spacing w:before="7"/>
        <w:rPr>
          <w:i/>
          <w:sz w:val="14"/>
        </w:rPr>
      </w:pPr>
    </w:p>
    <w:p>
      <w:pPr>
        <w:tabs>
          <w:tab w:pos="5665" w:val="left" w:leader="none"/>
        </w:tabs>
        <w:spacing w:line="240" w:lineRule="auto"/>
        <w:ind w:left="159" w:right="0" w:firstLine="0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324860" cy="1020444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1020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2" w:space="0" w:color="1E2F46"/>
                                <w:left w:val="single" w:sz="2" w:space="0" w:color="1E2F46"/>
                                <w:bottom w:val="single" w:sz="2" w:space="0" w:color="1E2F46"/>
                                <w:right w:val="single" w:sz="2" w:space="0" w:color="1E2F46"/>
                                <w:insideH w:val="single" w:sz="2" w:space="0" w:color="1E2F46"/>
                                <w:insideV w:val="single" w:sz="2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5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MALAGA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952" w:hanging="7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 Barcelo Malaga / Hotel Hilton</w:t>
                                  </w:r>
                                  <w:r>
                                    <w:rPr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Garden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Inn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050" w:hanging="82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 Exe Sevilla Macarena / Hotel</w:t>
                                  </w:r>
                                  <w:r>
                                    <w:rPr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Andalus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bottom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bottom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Granada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Pierre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Vacances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8pt;height:80.350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2" w:space="0" w:color="1E2F46"/>
                          <w:left w:val="single" w:sz="2" w:space="0" w:color="1E2F46"/>
                          <w:bottom w:val="single" w:sz="2" w:space="0" w:color="1E2F46"/>
                          <w:right w:val="single" w:sz="2" w:space="0" w:color="1E2F46"/>
                          <w:insideH w:val="single" w:sz="2" w:space="0" w:color="1E2F46"/>
                          <w:insideV w:val="single" w:sz="2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1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5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MALAGA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952" w:hanging="7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 Barcelo Malaga / Hotel Hilton</w:t>
                            </w:r>
                            <w:r>
                              <w:rPr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Garden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Inn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050" w:hanging="82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 Exe Sevilla Macarena / Hotel</w:t>
                            </w:r>
                            <w:r>
                              <w:rPr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Andalus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bottom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bottom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Granada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Pierre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Vacances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24860" cy="1027430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102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8pt;height:80.9pt;mso-position-horizontal-relative:char;mso-position-vertical-relative:line" type="#_x0000_t202" id="docshape3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sectPr>
      <w:pgSz w:w="11910" w:h="16840"/>
      <w:pgMar w:header="470" w:footer="718" w:top="150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7152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56640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60224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59712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59200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58688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58176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2039299</wp:posOffset>
              </wp:positionH>
              <wp:positionV relativeFrom="page">
                <wp:posOffset>602903</wp:posOffset>
              </wp:positionV>
              <wp:extent cx="2162810" cy="2032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1628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capodanno</w:t>
                          </w:r>
                          <w:r>
                            <w:rPr>
                              <w:b/>
                              <w:color w:val="98C222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color w:val="98C222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Andalusia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47.472713pt;width:170.3pt;height:16pt;mso-position-horizontal-relative:page;mso-position-vertical-relative:page;z-index:-15857664" type="#_x0000_t202" id="docshape28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capodanno</w:t>
                    </w:r>
                    <w:r>
                      <w:rPr>
                        <w:b/>
                        <w:color w:val="98C222"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in</w:t>
                    </w:r>
                    <w:r>
                      <w:rPr>
                        <w:b/>
                        <w:color w:val="98C222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Andalusia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2704" w:right="1040" w:hanging="827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5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2026-06-23T13:10:05Z</dcterms:created>
  <dcterms:modified xsi:type="dcterms:W3CDTF">2026-06-23T13:10:05Z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18.0</vt:lpwstr>
  </property>
</Properties>
</file>