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before="86"/>
        <w:ind w:left="1307" w:right="130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VENEZIA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FEBBRAIO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679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467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Venezia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 </w:t>
      </w:r>
      <w:r>
        <w:rPr>
          <w:rFonts w:ascii="Calibri Light" w:hAnsi="Calibri Light"/>
          <w:color w:val="FFFFFF"/>
          <w:spacing w:val="-2"/>
          <w:sz w:val="20"/>
        </w:rPr>
        <w:t>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3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30€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729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758"/>
        <w:gridCol w:w="1758"/>
        <w:gridCol w:w="1758"/>
        <w:gridCol w:w="1758"/>
        <w:gridCol w:w="1758"/>
      </w:tblGrid>
      <w:tr>
        <w:trPr>
          <w:trHeight w:val="443" w:hRule="atLeast"/>
        </w:trPr>
        <w:tc>
          <w:tcPr>
            <w:tcW w:w="1965" w:type="dxa"/>
          </w:tcPr>
          <w:p>
            <w:pPr>
              <w:pStyle w:val="TableParagraph"/>
              <w:spacing w:before="129"/>
              <w:ind w:left="10" w:right="1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di</w:t>
            </w:r>
            <w:r>
              <w:rPr>
                <w:b/>
                <w:color w:val="12110C"/>
                <w:spacing w:val="-2"/>
                <w:sz w:val="16"/>
              </w:rPr>
              <w:t> partenza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129"/>
              <w:ind w:righ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7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8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RID.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4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758" w:type="dxa"/>
          </w:tcPr>
          <w:p>
            <w:pPr>
              <w:pStyle w:val="TableParagraph"/>
              <w:spacing w:line="196" w:lineRule="auto" w:before="77"/>
              <w:ind w:left="530" w:hanging="448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QUOTA BAMBINO 2-</w:t>
            </w:r>
            <w:r>
              <w:rPr>
                <w:b/>
                <w:color w:val="020203"/>
                <w:sz w:val="16"/>
              </w:rPr>
              <w:t>12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 N.C.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NOVEMBRE,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DICEMBRE, </w:t>
            </w:r>
            <w:r>
              <w:rPr>
                <w:color w:val="020203"/>
                <w:spacing w:val="-5"/>
                <w:sz w:val="18"/>
              </w:rPr>
              <w:t>06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 w:right="2"/>
              <w:rPr>
                <w:sz w:val="18"/>
              </w:rPr>
            </w:pPr>
            <w:r>
              <w:rPr>
                <w:color w:val="020203"/>
                <w:sz w:val="18"/>
              </w:rPr>
              <w:t>DICEMBRE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,13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DICEMBRE,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GENNAIO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10,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17,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24,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FEBBRAIO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07,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14,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21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spacing w:line="380" w:lineRule="atLeast" w:before="0"/>
        <w:ind w:left="141" w:right="9085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spacing w:line="194" w:lineRule="exact" w:before="166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spacing w:line="235" w:lineRule="auto" w:before="2"/>
        <w:ind w:left="141" w:right="192" w:firstLine="0"/>
        <w:jc w:val="left"/>
        <w:rPr>
          <w:i/>
          <w:sz w:val="16"/>
        </w:rPr>
      </w:pPr>
      <w:r>
        <w:rPr>
          <w:color w:val="020203"/>
          <w:spacing w:val="-4"/>
          <w:sz w:val="16"/>
        </w:rPr>
        <w:t>Prima colazione in hotel. Al mattino partenza per la penisola antica. Attraversamento del Corno d’Oro, l’antico porto bizantino e ottomano. Visita all’Ippodromo, sede delle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corse delle bighe; agli obelischi e alla Moschea del Sultano Ahmet, nota come Moschea Blu per le sue maioliche del XVII secolo. Tempo libero per visitare autonomamente la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Chiesa di Santa Sofia e la Cisterna Basilica (ingressi esclusi), capolavori dell’architettura bizantina. Pranzo in ristorante. Nel pomeriggio visita al Palazzo di Topkapi con la sezione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Harem e alla Chiesa di Santa Irene, dimora dei Sultani per quasi quattro secoli, che testimonia la magnificenza dell’Impero Ottomano, e al Gran Bazaar, il più grande mercato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coperto del mondo. </w:t>
      </w:r>
      <w:r>
        <w:rPr>
          <w:i/>
          <w:color w:val="020203"/>
          <w:spacing w:val="-4"/>
          <w:sz w:val="16"/>
        </w:rPr>
        <w:t>Possibilità di partecipare a una gita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sul Bosforo, per ammirare il versante asiatico ed europeo della città. Rientro in hotel,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cena e pernottamento.</w:t>
      </w:r>
    </w:p>
    <w:p>
      <w:pPr>
        <w:tabs>
          <w:tab w:pos="374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92"/>
        <w:rPr>
          <w:i/>
        </w:rPr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po-meriggio visita alla Valle di Avcilar, dove rocce colorate si fondono armoniosamente con il paesaggio circostante e alla Valle Rosa, uno dei luoghi più belli della Cappadocia ca-ratterizzato da centinaia di formazioni rocciose di colore rosa. Sopra la valle ci sono una serie di splendide chiese ubicate in grotte rupestri. Nel tardo pomeriggio tappa a Chez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luogo affascinante più che un semplice museo dove sono esposte ceramiche dipinte a mano, rinomate per la loro bellezza e qualità con l’opportunità di incontrare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personaggio davvero singolare, e sperimentare la creazione di ceramiche insieme agli studenti sotto la sua guida eccentrica. Un’esperienza che va oltre la semplice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visita, 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</w:rPr>
        <w:t>Possibilità di partecipare a uno</w:t>
      </w:r>
      <w:r>
        <w:rPr>
          <w:i/>
          <w:color w:val="020203"/>
          <w:spacing w:val="40"/>
        </w:rPr>
        <w:t> </w:t>
      </w:r>
      <w:r>
        <w:rPr>
          <w:i/>
          <w:color w:val="020203"/>
          <w:spacing w:val="-2"/>
        </w:rPr>
        <w:t>spettacolo dei dervisci danzanti </w:t>
      </w:r>
      <w:r>
        <w:rPr>
          <w:b/>
          <w:i/>
          <w:color w:val="020203"/>
          <w:spacing w:val="-2"/>
        </w:rPr>
        <w:t>(facoltativo, pagamento in loco)</w:t>
      </w:r>
      <w:r>
        <w:rPr>
          <w:i/>
          <w:color w:val="020203"/>
          <w:spacing w:val="-2"/>
        </w:rPr>
        <w:t>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una serata folkloristica con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danzatrice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ventre</w:t>
      </w:r>
      <w:r>
        <w:rPr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(facoltativa,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color w:val="020203"/>
          <w:sz w:val="16"/>
        </w:rPr>
        <w:t>.</w:t>
      </w:r>
    </w:p>
    <w:p>
      <w:pPr>
        <w:pStyle w:val="BodyText"/>
      </w:pPr>
    </w:p>
    <w:p>
      <w:pPr>
        <w:tabs>
          <w:tab w:pos="374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ESKISEHIR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(530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16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l’incredibile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mix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formazioni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rocciose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dolci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colline.</w:t>
      </w:r>
      <w:r>
        <w:rPr>
          <w:i/>
          <w:color w:val="020203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itinerario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ricco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tappe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suggestive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fotografare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paesaggi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caratteristiche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mongolfiere.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Prima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colazione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hotel e partenza per Ankara con sosta fotografica al Mausoleo di Ataturk: il fondatore della Repubblica Turca. Pranzo in ristorante. Nel pomeriggio visita al quartiere storico di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Odunpazari e alla Moschea di Kursunlu. Giro panoramico di Eskisehir e tempo libero all’Arasta Bazaar, noto per vetri e ceramiche artistiche. Trasferimento in hotel, sistemazio-</w:t>
      </w:r>
      <w:r>
        <w:rPr>
          <w:color w:val="020203"/>
          <w:sz w:val="16"/>
        </w:rPr>
        <w:t>ne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nelle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camere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riservate,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cena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pernottamento.</w:t>
      </w:r>
    </w:p>
    <w:p>
      <w:pPr>
        <w:tabs>
          <w:tab w:pos="374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 Giorno: ESKISEHIR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 BURSA 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(280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237"/>
        <w:jc w:val="both"/>
      </w:pPr>
      <w:r>
        <w:rPr>
          <w:color w:val="020203"/>
          <w:spacing w:val="-4"/>
        </w:rPr>
        <w:t>Prima colazione in hotel a partenza per Bursa, prima capitale dell’Impero Ottomano. Visita alla Grande Moschea e alla splendida Moschea Verde del 1424, decorata con le fa-mose maioliche di Iznik. Pranzo in ristorante e proseguimento per Istanbul attraversando il Ponte di Osmangazi, il quarto più lungo al mondo per lunghezza della sua campata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centrale.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9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dicitura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“o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similare”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indica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che,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base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disponibilità,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potremmo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utilizzare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strutture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alberghiere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alternative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rispetto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quelle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menzionate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orari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voli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compatibili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pasti;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sarà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fornito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pranzo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sacco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cena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fredda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Massima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occupazione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camere: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+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bambino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3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tripla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(con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notevole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riduzione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degli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spazi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quanto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tratta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+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letto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Bambini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-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6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pagano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ingressi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musei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siti,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mance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E’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possibile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l’ingresso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Turchia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passaporto</w:t>
      </w:r>
      <w:r>
        <w:rPr>
          <w:b/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carta</w:t>
      </w:r>
      <w:r>
        <w:rPr>
          <w:b/>
          <w:i/>
          <w:color w:val="1E2F46"/>
          <w:spacing w:val="-4"/>
          <w:sz w:val="16"/>
          <w:u w:val="single" w:color="1E2F46"/>
        </w:rPr>
        <w:t> </w:t>
      </w:r>
      <w:r>
        <w:rPr>
          <w:b/>
          <w:i/>
          <w:color w:val="1E2F46"/>
          <w:sz w:val="16"/>
          <w:u w:val="single" w:color="1E2F46"/>
        </w:rPr>
        <w:t>d’identità</w:t>
      </w:r>
      <w:r>
        <w:rPr>
          <w:b/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elettronica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validità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residua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almeno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5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mesi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data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1E2F46"/>
          <w:sz w:val="16"/>
        </w:rPr>
        <w:t>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trasferimenti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includono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l’assistenza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guida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professionale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parlante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italiano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solo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trasferimento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collettivo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oltre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10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passeggeri,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13:00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18:50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VENEZIA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80" w:hRule="atLeast"/>
        </w:trPr>
        <w:tc>
          <w:tcPr>
            <w:tcW w:w="5386" w:type="dxa"/>
            <w:tcBorders>
              <w:top w:val="nil"/>
              <w:bottom w:val="single" w:sz="2" w:space="0" w:color="98C222"/>
            </w:tcBorders>
          </w:tcPr>
          <w:p>
            <w:pPr>
              <w:pStyle w:val="TableParagraph"/>
              <w:spacing w:before="49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Marco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Polo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top w:val="nil"/>
              <w:bottom w:val="single" w:sz="2" w:space="0" w:color="98C222"/>
            </w:tcBorders>
          </w:tcPr>
          <w:p>
            <w:pPr>
              <w:pStyle w:val="TableParagraph"/>
              <w:spacing w:before="4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Marco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Polo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98C222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98C222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</w:tbl>
    <w:p>
      <w:pPr>
        <w:pStyle w:val="BodyText"/>
        <w:spacing w:before="7"/>
        <w:rPr>
          <w:i/>
          <w:sz w:val="13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10" w:hRule="atLeast"/>
        </w:trPr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6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ESKISEHIR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Anemon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524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2473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92729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2678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92627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2039299</wp:posOffset>
              </wp:positionH>
              <wp:positionV relativeFrom="page">
                <wp:posOffset>617303</wp:posOffset>
              </wp:positionV>
              <wp:extent cx="1329055" cy="2032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48.606613pt;width:104.65pt;height:16pt;mso-position-horizontal-relative:page;mso-position-vertical-relative:page;z-index:-15925760" type="#_x0000_t202" id="docshape22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8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2026-06-12T09:07:59Z</dcterms:created>
  <dcterms:modified xsi:type="dcterms:W3CDTF">2026-06-12T09:07:59Z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